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3352"/>
        <w:gridCol w:w="2650"/>
        <w:gridCol w:w="3352"/>
      </w:tblGrid>
      <w:tr>
        <w:tc>
          <w:tcPr>
            <w:tcW w:type="dxa" w:w="33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10" w:line="200"/>
            </w:pPr>
            <w:r>
              <w:rPr>
                <w:rFonts w:ascii="Calibri" w:cs="Calibri" w:eastAsia="Calibri" w:hAnsi="Calibri"/>
                <w:b/>
                <w:bCs/>
                <w:color w:val="092C53"/>
                <w:sz w:val="17"/>
                <w:szCs w:val="17"/>
              </w:rPr>
              <w:t xml:space="preserve">„Дворец на културата и спорта“ ЕАД</w:t>
            </w:r>
          </w:p>
          <w:p>
            <w:pPr>
              <w:spacing w:after="10" w:line="20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гр. Варна, бул. „Княз Борис I“ 115</w:t>
            </w:r>
          </w:p>
          <w:p>
            <w:pPr>
              <w:spacing w:after="10" w:line="20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ЕИК: 103156991</w:t>
            </w:r>
          </w:p>
          <w:p>
            <w:pPr>
              <w:spacing w:after="10" w:line="20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е-mail: office@palaceofvarna.com</w:t>
            </w:r>
          </w:p>
        </w:tc>
        <w:tc>
          <w:tcPr>
            <w:tcW w:type="dxa" w:w="2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1600200" cy="828675"/>
                  <wp:effectExtent t="0" r="0" b="0" l="0"/>
                  <wp:docPr id="1" name="DKS" descr="Емблема на Двореца на културата и спорта" title="ДКС Вар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10" w:line="2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5D6B7D"/>
                <w:sz w:val="16"/>
                <w:szCs w:val="16"/>
              </w:rPr>
              <w:t xml:space="preserve">Изх. № ................................</w:t>
            </w:r>
          </w:p>
          <w:p>
            <w:pPr>
              <w:spacing w:after="10" w:line="20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92C53"/>
                <w:sz w:val="17"/>
                <w:szCs w:val="17"/>
              </w:rPr>
              <w:t xml:space="preserve">Palace of Culture and Sports PLC</w:t>
            </w:r>
          </w:p>
          <w:p>
            <w:pPr>
              <w:spacing w:after="10" w:line="2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115 Knyaz Boris I blvd., VARNA, BULGARIA</w:t>
            </w:r>
          </w:p>
          <w:p>
            <w:pPr>
              <w:spacing w:after="10" w:line="2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tel: +359 52/ 645 123   fax: +359 52/ 647 784</w:t>
            </w:r>
          </w:p>
        </w:tc>
      </w:tr>
    </w:tbl>
    <w:p>
      <w:pPr>
        <w:pBdr>
          <w:bottom w:val="single" w:color="1863DC" w:sz="12" w:space="1"/>
        </w:pBdr>
        <w:spacing w:after="160" w:before="60"/>
      </w:pP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900"/>
        <w:gridCol w:w="7454"/>
      </w:tblGrid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</w:tcPr>
          <w:p>
            <w:r>
              <w:rPr>
                <w:b/>
                <w:bCs/>
                <w:color w:val="092C53"/>
                <w:sz w:val="20"/>
                <w:szCs w:val="20"/>
              </w:rPr>
              <w:t xml:space="preserve">Относно:</w:t>
            </w:r>
          </w:p>
        </w:tc>
        <w:tc>
          <w:tcPr>
            <w:tcW w:type="dxa" w:w="7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r/>
            <w:r>
              <w:rPr>
                <w:b w:val="0"/>
              </w:rPr>
              <w:t>Обучение · Академия за писане на проекти</w:t>
            </w:r>
          </w:p>
        </w:tc>
      </w:tr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</w:tcPr>
          <w:p>
            <w:r>
              <w:rPr>
                <w:b/>
                <w:bCs/>
                <w:color w:val="092C53"/>
                <w:sz w:val="20"/>
                <w:szCs w:val="20"/>
              </w:rPr>
              <w:t xml:space="preserve">До:</w:t>
            </w:r>
          </w:p>
        </w:tc>
        <w:tc>
          <w:tcPr>
            <w:tcW w:type="dxa" w:w="7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r/>
            <w:r>
              <w:rPr>
                <w:b w:val="0"/>
              </w:rPr>
              <w:t>Служители, стажанти и доброволци</w:t>
            </w:r>
          </w:p>
        </w:tc>
      </w:tr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</w:tcPr>
          <w:p>
            <w:r>
              <w:rPr>
                <w:b/>
                <w:bCs/>
                <w:color w:val="092C53"/>
                <w:sz w:val="20"/>
                <w:szCs w:val="20"/>
              </w:rPr>
              <w:t xml:space="preserve">Изготвил:</w:t>
            </w:r>
          </w:p>
        </w:tc>
        <w:tc>
          <w:tcPr>
            <w:tcW w:type="dxa" w:w="7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r/>
            <w:r>
              <w:rPr>
                <w:b w:val="0"/>
              </w:rPr>
              <w:t>Координатор проекти</w:t>
            </w:r>
          </w:p>
        </w:tc>
      </w:tr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</w:tcPr>
          <w:p>
            <w:r>
              <w:rPr>
                <w:b/>
                <w:bCs/>
                <w:color w:val="092C53"/>
                <w:sz w:val="20"/>
                <w:szCs w:val="20"/>
              </w:rPr>
              <w:t xml:space="preserve">Дата:</w:t>
            </w:r>
          </w:p>
        </w:tc>
        <w:tc>
          <w:tcPr>
            <w:tcW w:type="dxa" w:w="7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r/>
            <w:r>
              <w:rPr>
                <w:b w:val="0"/>
              </w:rPr>
              <w:t>юли 2026</w:t>
            </w:r>
          </w:p>
        </w:tc>
      </w:tr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</w:tcPr>
          <w:p>
            <w:r>
              <w:rPr>
                <w:b/>
                <w:bCs/>
                <w:color w:val="092C53"/>
                <w:sz w:val="20"/>
                <w:szCs w:val="20"/>
              </w:rPr>
              <w:t xml:space="preserve">Версия:</w:t>
            </w:r>
          </w:p>
        </w:tc>
        <w:tc>
          <w:tcPr>
            <w:tcW w:type="dxa" w:w="7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r/>
            <w:r>
              <w:rPr>
                <w:b w:val="0"/>
              </w:rPr>
              <w:t>v1.0</w:t>
            </w:r>
          </w:p>
        </w:tc>
      </w:tr>
    </w:tbl>
    <w:p>
      <w:pPr>
        <w:pStyle w:val="Heading1"/>
      </w:pPr>
      <w:r>
        <w:rPr>
          <w:b w:val="0"/>
        </w:rPr>
        <w:t>Управление на проекти</w:t>
      </w:r>
    </w:p>
    <w:p>
      <w:r>
        <w:rPr>
          <w:b w:val="0"/>
        </w:rPr>
        <w:t>Написването на проекта е началото. Управлението е това, което превръща одобреното предложение в завършен резултат — в срока, в бюджета и с обещаното качество. Този материал продължава оттам, докъдето стигат обученията „писане на проекти“ и „логическа рамка“: как планът се изпълнява и довежда до резултат. Придружава се от примерен интерактивен тракер за проследяване.</w:t>
      </w:r>
    </w:p>
    <w:p>
      <w:pPr>
        <w:pStyle w:val="Heading2"/>
      </w:pPr>
      <w:r>
        <w:rPr>
          <w:b w:val="0"/>
        </w:rPr>
        <w:t>1. Какво е управление на проекти</w:t>
      </w:r>
    </w:p>
    <w:p>
      <w:r>
        <w:rPr>
          <w:b w:val="0"/>
        </w:rPr>
        <w:t>Проектът е временно усилие с ясно начало и край, което създава уникален резултат — за разлика от рутинната дейност, която се повтаря непрекъснато. Един концерт, обновяване на зала, обучителна програма или кандидатстване за финансиране са проекти; ежедневната продажба на билети е рутина.</w:t>
      </w:r>
    </w:p>
    <w:p>
      <w:r>
        <w:rPr>
          <w:b w:val="0"/>
        </w:rPr>
        <w:t>Управлението на проекти означава да планираш, организираш и следиш ресурсите така, че резултатът да бъде постигнат. Всеки проект живее в опъна между три ограничения — промениш ли едното, другите две реагират:</w:t>
      </w:r>
    </w:p>
    <w:p>
      <w:pPr>
        <w:pStyle w:val="ListParagraph"/>
        <w:numPr>
          <w:ilvl w:val="0"/>
          <w:numId w:val="2"/>
        </w:numPr>
      </w:pPr>
      <w:r>
        <w:rPr>
          <w:b w:val="0"/>
        </w:rPr>
        <w:t>Обхват — какво точно ще се направи и какво не влиза в проекта.</w:t>
      </w:r>
    </w:p>
    <w:p>
      <w:pPr>
        <w:pStyle w:val="ListParagraph"/>
        <w:numPr>
          <w:ilvl w:val="0"/>
          <w:numId w:val="2"/>
        </w:numPr>
      </w:pPr>
      <w:r>
        <w:rPr>
          <w:b w:val="0"/>
        </w:rPr>
        <w:t>Време — срокове и график на дейностите.</w:t>
      </w:r>
    </w:p>
    <w:p>
      <w:pPr>
        <w:pStyle w:val="ListParagraph"/>
        <w:numPr>
          <w:ilvl w:val="0"/>
          <w:numId w:val="2"/>
        </w:numPr>
      </w:pPr>
      <w:r>
        <w:rPr>
          <w:b w:val="0"/>
        </w:rPr>
        <w:t>Бюджет — пари, хора и материали, с които разполагаме.</w:t>
      </w:r>
    </w:p>
    <w:tbl>
      <w:tblPr>
        <w:tblW w:type="auto" w:w="0"/>
        <w:tblLayout w:type="fixed"/>
        <w:tblLook w:firstColumn="1" w:firstRow="1" w:lastColumn="0" w:lastRow="0" w:noHBand="0" w:noVBand="1" w:val="04A0"/>
        <w:tblW w:w="9354" w:type="dxa"/>
      </w:tblPr>
      <w:tblGrid>
        <w:gridCol w:w="9354"/>
      </w:tblGrid>
      <w:tr>
        <w:tc>
          <w:tcPr>
            <w:tcW w:type="dxa" w:w="9354"/>
            <w:tcW w:w="9354" w:type="dxa"/>
            <w:shd w:val="clear" w:color="auto" w:fill="F4F6F9"/>
            <w:tcBorders>
              <w:top w:val="single" w:sz="4" w:space="0" w:color="D8DEE8"/>
              <w:bottom w:val="single" w:sz="4" w:space="0" w:color="D8DEE8"/>
              <w:right w:val="single" w:sz="4" w:space="0" w:color="D8DEE8"/>
              <w:left w:val="single" w:sz="28" w:space="0" w:color="1863DC"/>
            </w:tcBorders>
          </w:tcPr>
          <w:p>
            <w:r/>
            <w:r>
              <w:rPr>
                <w:b/>
                <w:color w:val="0B1630"/>
              </w:rPr>
              <w:t xml:space="preserve">Триъгълникът на проекта: </w:t>
            </w:r>
            <w:r>
              <w:rPr>
                <w:b w:val="0"/>
              </w:rPr>
              <w:t>Обхват, време и бюджет са свързани, а в центъра стои качеството. Ако разширим обхвата без повече време и пари, качеството страда. Управлението е постоянно балансиране между тези четири.</w:t>
            </w:r>
          </w:p>
        </w:tc>
      </w:tr>
    </w:tbl>
    <w:p>
      <w:pPr>
        <w:pStyle w:val="Heading2"/>
      </w:pPr>
      <w:r>
        <w:rPr>
          <w:b w:val="0"/>
        </w:rPr>
        <w:t>2. Жизнен цикъл — петте фази</w:t>
      </w:r>
    </w:p>
    <w:p>
      <w:r>
        <w:rPr>
          <w:b w:val="0"/>
        </w:rPr>
        <w:t>Всеки проект минава през едни и същи пет фази — независимо дали трае седмица или две години. Фазите се застъпват: мониторингът върви успоредно с изпълнението.</w:t>
      </w:r>
    </w:p>
    <w:tbl>
      <w:tblPr>
        <w:tblW w:type="auto" w:w="0"/>
        <w:tblLayout w:type="fixed"/>
        <w:tblLook w:firstColumn="1" w:firstRow="1" w:lastColumn="0" w:lastRow="0" w:noHBand="0" w:noVBand="1" w:val="04A0"/>
        <w:tblW w:w="9354" w:type="dxa"/>
      </w:tblPr>
      <w:tblGrid>
        <w:gridCol w:w="4677"/>
        <w:gridCol w:w="4677"/>
      </w:tblGrid>
      <w:tr>
        <w:tc>
          <w:tcPr>
            <w:tcW w:type="dxa" w:w="4677"/>
            <w:tcW w:w="4677" w:type="dxa"/>
            <w:shd w:val="clear" w:color="auto" w:fill="0B1630"/>
            <w:tcBorders>
              <w:top w:val="single" w:sz="4" w:space="0" w:color="0B1630"/>
              <w:bottom w:val="single" w:sz="4" w:space="0" w:color="0B1630"/>
              <w:left w:val="single" w:sz="4" w:space="0" w:color="0B1630"/>
              <w:right w:val="single" w:sz="4" w:space="0" w:color="0B1630"/>
            </w:tcBorders>
          </w:tcPr>
          <w:p>
            <w:r/>
            <w:r>
              <w:rPr>
                <w:b/>
                <w:color w:val="FFFFFF"/>
              </w:rPr>
              <w:t>Фаза</w:t>
            </w:r>
          </w:p>
        </w:tc>
        <w:tc>
          <w:tcPr>
            <w:tcW w:type="dxa" w:w="4677"/>
            <w:tcW w:w="4677" w:type="dxa"/>
            <w:shd w:val="clear" w:color="auto" w:fill="0B1630"/>
            <w:tcBorders>
              <w:top w:val="single" w:sz="4" w:space="0" w:color="0B1630"/>
              <w:bottom w:val="single" w:sz="4" w:space="0" w:color="0B1630"/>
              <w:left w:val="single" w:sz="4" w:space="0" w:color="0B1630"/>
              <w:right w:val="single" w:sz="4" w:space="0" w:color="0B1630"/>
            </w:tcBorders>
          </w:tcPr>
          <w:p>
            <w:r/>
            <w:r>
              <w:rPr>
                <w:b/>
                <w:color w:val="FFFFFF"/>
              </w:rPr>
              <w:t>Какво се случва</w:t>
            </w:r>
          </w:p>
        </w:tc>
      </w:tr>
      <w:tr>
        <w:tc>
          <w:tcPr>
            <w:tcW w:type="dxa" w:w="4677"/>
            <w:tcW w:w="4677" w:type="dxa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1. Иницииране</w:t>
            </w:r>
          </w:p>
        </w:tc>
        <w:tc>
          <w:tcPr>
            <w:tcW w:type="dxa" w:w="4677"/>
            <w:tcW w:w="4677" w:type="dxa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Защо изобщо правим проекта? Дефинира се целта, ползата, грубите рамки на обхват и ресурси и кой възлага. Резултат: кратко задание, което дава „зелена светлина“.</w:t>
            </w:r>
          </w:p>
        </w:tc>
      </w:tr>
      <w:tr>
        <w:tc>
          <w:tcPr>
            <w:tcW w:type="dxa" w:w="4677"/>
            <w:tcW w:w="4677" w:type="dxa"/>
            <w:shd w:val="clear" w:color="auto" w:fill="F4F6F9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2. Планиране</w:t>
            </w:r>
          </w:p>
        </w:tc>
        <w:tc>
          <w:tcPr>
            <w:tcW w:type="dxa" w:w="4677"/>
            <w:tcW w:w="4677" w:type="dxa"/>
            <w:shd w:val="clear" w:color="auto" w:fill="F4F6F9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Как ще стане? Разбиваме работата на пакети, правим график, бюджет, разпределяме отговорници и описваме рисковете. Резултат: планът, по който ще се работи.</w:t>
            </w:r>
          </w:p>
        </w:tc>
      </w:tr>
      <w:tr>
        <w:tc>
          <w:tcPr>
            <w:tcW w:type="dxa" w:w="4677"/>
            <w:tcW w:w="4677" w:type="dxa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3. Изпълнение</w:t>
            </w:r>
          </w:p>
        </w:tc>
        <w:tc>
          <w:tcPr>
            <w:tcW w:type="dxa" w:w="4677"/>
            <w:tcW w:w="4677" w:type="dxa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Свършваме реалната работа според плана. Ръководителят координира екипа, партньорите и изпълнителите и държи всички информирани.</w:t>
            </w:r>
          </w:p>
        </w:tc>
      </w:tr>
      <w:tr>
        <w:tc>
          <w:tcPr>
            <w:tcW w:type="dxa" w:w="4677"/>
            <w:tcW w:w="4677" w:type="dxa"/>
            <w:shd w:val="clear" w:color="auto" w:fill="F4F6F9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4. Мониторинг и контрол</w:t>
            </w:r>
          </w:p>
        </w:tc>
        <w:tc>
          <w:tcPr>
            <w:tcW w:type="dxa" w:w="4677"/>
            <w:tcW w:w="4677" w:type="dxa"/>
            <w:shd w:val="clear" w:color="auto" w:fill="F4F6F9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Върви успоредно с изпълнението: сравняваме реалното с планираното, следим срокове, разходи и качество и коригираме отклоненията навреме.</w:t>
            </w:r>
          </w:p>
        </w:tc>
      </w:tr>
      <w:tr>
        <w:tc>
          <w:tcPr>
            <w:tcW w:type="dxa" w:w="4677"/>
            <w:tcW w:w="4677" w:type="dxa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5. Приключване</w:t>
            </w:r>
          </w:p>
        </w:tc>
        <w:tc>
          <w:tcPr>
            <w:tcW w:type="dxa" w:w="4677"/>
            <w:tcW w:w="4677" w:type="dxa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Предаваме резултата, отчитаме се пред възложителя и финансиращия, събираме научените уроци и архивираме. Проектът се затваря формално.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W w:w="9354" w:type="dxa"/>
      </w:tblPr>
      <w:tblGrid>
        <w:gridCol w:w="9354"/>
      </w:tblGrid>
      <w:tr>
        <w:tc>
          <w:tcPr>
            <w:tcW w:type="dxa" w:w="9354"/>
            <w:tcW w:w="9354" w:type="dxa"/>
            <w:shd w:val="clear" w:color="auto" w:fill="F4F6F9"/>
            <w:tcBorders>
              <w:top w:val="single" w:sz="4" w:space="0" w:color="D8DEE8"/>
              <w:bottom w:val="single" w:sz="4" w:space="0" w:color="D8DEE8"/>
              <w:right w:val="single" w:sz="4" w:space="0" w:color="D8DEE8"/>
              <w:left w:val="single" w:sz="28" w:space="0" w:color="1863DC"/>
            </w:tcBorders>
          </w:tcPr>
          <w:p>
            <w:r/>
            <w:r>
              <w:rPr>
                <w:b/>
                <w:color w:val="0B1630"/>
              </w:rPr>
              <w:t xml:space="preserve">Връзка с предходните обучения: </w:t>
            </w:r>
            <w:r>
              <w:rPr>
                <w:b w:val="0"/>
              </w:rPr>
              <w:t>„Писането на проекти“ и „логическата рамка“ покриват фаза 1 и 2. Това обучение продължава оттам — как планът се изпълнява и довежда до резултат.</w:t>
            </w:r>
          </w:p>
        </w:tc>
      </w:tr>
    </w:tbl>
    <w:p>
      <w:pPr>
        <w:pStyle w:val="Heading2"/>
      </w:pPr>
      <w:r>
        <w:rPr>
          <w:b w:val="0"/>
        </w:rPr>
        <w:t>3. Планиране — сърцето на проекта</w:t>
      </w:r>
    </w:p>
    <w:p>
      <w:r>
        <w:rPr>
          <w:b w:val="0"/>
        </w:rPr>
        <w:t>Добрият план прави изпълнението спокойно. Четири елемента го изграждат:</w:t>
      </w:r>
    </w:p>
    <w:tbl>
      <w:tblPr>
        <w:tblW w:type="auto" w:w="0"/>
        <w:tblLayout w:type="fixed"/>
        <w:tblLook w:firstColumn="1" w:firstRow="1" w:lastColumn="0" w:lastRow="0" w:noHBand="0" w:noVBand="1" w:val="04A0"/>
        <w:tblW w:w="9354" w:type="dxa"/>
      </w:tblPr>
      <w:tblGrid>
        <w:gridCol w:w="4677"/>
        <w:gridCol w:w="4677"/>
      </w:tblGrid>
      <w:tr>
        <w:tc>
          <w:tcPr>
            <w:tcW w:type="dxa" w:w="4677"/>
            <w:tcW w:w="4677" w:type="dxa"/>
            <w:shd w:val="clear" w:color="auto" w:fill="0B1630"/>
            <w:tcBorders>
              <w:top w:val="single" w:sz="4" w:space="0" w:color="0B1630"/>
              <w:bottom w:val="single" w:sz="4" w:space="0" w:color="0B1630"/>
              <w:left w:val="single" w:sz="4" w:space="0" w:color="0B1630"/>
              <w:right w:val="single" w:sz="4" w:space="0" w:color="0B1630"/>
            </w:tcBorders>
          </w:tcPr>
          <w:p>
            <w:r/>
            <w:r>
              <w:rPr>
                <w:b/>
                <w:color w:val="FFFFFF"/>
              </w:rPr>
              <w:t>Елемент</w:t>
            </w:r>
          </w:p>
        </w:tc>
        <w:tc>
          <w:tcPr>
            <w:tcW w:type="dxa" w:w="4677"/>
            <w:tcW w:w="4677" w:type="dxa"/>
            <w:shd w:val="clear" w:color="auto" w:fill="0B1630"/>
            <w:tcBorders>
              <w:top w:val="single" w:sz="4" w:space="0" w:color="0B1630"/>
              <w:bottom w:val="single" w:sz="4" w:space="0" w:color="0B1630"/>
              <w:left w:val="single" w:sz="4" w:space="0" w:color="0B1630"/>
              <w:right w:val="single" w:sz="4" w:space="0" w:color="0B1630"/>
            </w:tcBorders>
          </w:tcPr>
          <w:p>
            <w:r/>
            <w:r>
              <w:rPr>
                <w:b/>
                <w:color w:val="FFFFFF"/>
              </w:rPr>
              <w:t>Какво включва</w:t>
            </w:r>
          </w:p>
        </w:tc>
      </w:tr>
      <w:tr>
        <w:tc>
          <w:tcPr>
            <w:tcW w:type="dxa" w:w="4677"/>
            <w:tcW w:w="4677" w:type="dxa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Структура на работата</w:t>
            </w:r>
          </w:p>
        </w:tc>
        <w:tc>
          <w:tcPr>
            <w:tcW w:type="dxa" w:w="4677"/>
            <w:tcW w:w="4677" w:type="dxa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Голямата цел се разбива на работни пакети — парчета, които един човек или малък екип може да поеме. Всеки пакет има ясен резултат („готова сцена“, „одобрен афиш“), а не просто „работа по…“.</w:t>
            </w:r>
          </w:p>
        </w:tc>
      </w:tr>
      <w:tr>
        <w:tc>
          <w:tcPr>
            <w:tcW w:type="dxa" w:w="4677"/>
            <w:tcW w:w="4677" w:type="dxa"/>
            <w:shd w:val="clear" w:color="auto" w:fill="F4F6F9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График</w:t>
            </w:r>
          </w:p>
        </w:tc>
        <w:tc>
          <w:tcPr>
            <w:tcW w:type="dxa" w:w="4677"/>
            <w:tcW w:w="4677" w:type="dxa"/>
            <w:shd w:val="clear" w:color="auto" w:fill="F4F6F9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Пакетите се подреждат по последователност — кое зависи от кое. Отбелязваме ключови точки (крайъгълни камъни) и оставяме резерв за забавяния.</w:t>
            </w:r>
          </w:p>
        </w:tc>
      </w:tr>
      <w:tr>
        <w:tc>
          <w:tcPr>
            <w:tcW w:type="dxa" w:w="4677"/>
            <w:tcW w:w="4677" w:type="dxa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Ресурси и отговорници</w:t>
            </w:r>
          </w:p>
        </w:tc>
        <w:tc>
          <w:tcPr>
            <w:tcW w:type="dxa" w:w="4677"/>
            <w:tcW w:w="4677" w:type="dxa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За всеки пакет — кой отговаря (по длъжност), кой изпълнява, кой консултира. Проверяваме дали един и същ човек не е претоварен в един и същ период.</w:t>
            </w:r>
          </w:p>
        </w:tc>
      </w:tr>
      <w:tr>
        <w:tc>
          <w:tcPr>
            <w:tcW w:type="dxa" w:w="4677"/>
            <w:tcW w:w="4677" w:type="dxa"/>
            <w:shd w:val="clear" w:color="auto" w:fill="F4F6F9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Бюджет</w:t>
            </w:r>
          </w:p>
        </w:tc>
        <w:tc>
          <w:tcPr>
            <w:tcW w:type="dxa" w:w="4677"/>
            <w:tcW w:w="4677" w:type="dxa"/>
            <w:shd w:val="clear" w:color="auto" w:fill="F4F6F9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Разходите се разписват по пакети, не общо. Разделяме план и усвоено, за да следим оставащото, и предвиждаме буфер за непредвидени разходи.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W w:w="9354" w:type="dxa"/>
      </w:tblPr>
      <w:tblGrid>
        <w:gridCol w:w="9354"/>
      </w:tblGrid>
      <w:tr>
        <w:tc>
          <w:tcPr>
            <w:tcW w:type="dxa" w:w="9354"/>
            <w:tcW w:w="9354" w:type="dxa"/>
            <w:shd w:val="clear" w:color="auto" w:fill="F4F6F9"/>
            <w:tcBorders>
              <w:top w:val="single" w:sz="4" w:space="0" w:color="D8DEE8"/>
              <w:bottom w:val="single" w:sz="4" w:space="0" w:color="D8DEE8"/>
              <w:right w:val="single" w:sz="4" w:space="0" w:color="D8DEE8"/>
              <w:left w:val="single" w:sz="28" w:space="0" w:color="1863DC"/>
            </w:tcBorders>
          </w:tcPr>
          <w:p>
            <w:r/>
            <w:r>
              <w:rPr>
                <w:b/>
                <w:color w:val="0B1630"/>
              </w:rPr>
              <w:t xml:space="preserve">Правило: </w:t>
            </w:r>
            <w:r>
              <w:rPr>
                <w:b w:val="0"/>
              </w:rPr>
              <w:t>Планът не е документ, който се пише веднъж и се забравя. Той е жив инструмент — обновява се при всяка съществена промяна. Тъкмо за това служи тракерът в края на обучението.</w:t>
            </w:r>
          </w:p>
        </w:tc>
      </w:tr>
    </w:tbl>
    <w:p>
      <w:pPr>
        <w:pStyle w:val="Heading2"/>
      </w:pPr>
      <w:r>
        <w:rPr>
          <w:b w:val="0"/>
        </w:rPr>
        <w:t>4. Регистър на рисковете</w:t>
      </w:r>
    </w:p>
    <w:p>
      <w:r>
        <w:rPr>
          <w:b w:val="0"/>
        </w:rPr>
        <w:t>Рискът е събитие, което още не се е случило, но ако се случи — вреди на проекта. Управлението на риска е да ги изброиш предварително и да решиш какво ще правиш.</w:t>
      </w:r>
    </w:p>
    <w:tbl>
      <w:tblPr>
        <w:tblW w:type="auto" w:w="0"/>
        <w:tblLayout w:type="fixed"/>
        <w:tblLook w:firstColumn="1" w:firstRow="1" w:lastColumn="0" w:lastRow="0" w:noHBand="0" w:noVBand="1" w:val="04A0"/>
        <w:tblW w:w="9354" w:type="dxa"/>
      </w:tblPr>
      <w:tblGrid>
        <w:gridCol w:w="3118"/>
        <w:gridCol w:w="3118"/>
        <w:gridCol w:w="3118"/>
      </w:tblGrid>
      <w:tr>
        <w:tc>
          <w:tcPr>
            <w:tcW w:type="dxa" w:w="3118"/>
            <w:tcW w:w="3118" w:type="dxa"/>
            <w:shd w:val="clear" w:color="auto" w:fill="0B1630"/>
            <w:tcBorders>
              <w:top w:val="single" w:sz="4" w:space="0" w:color="0B1630"/>
              <w:bottom w:val="single" w:sz="4" w:space="0" w:color="0B1630"/>
              <w:left w:val="single" w:sz="4" w:space="0" w:color="0B1630"/>
              <w:right w:val="single" w:sz="4" w:space="0" w:color="0B1630"/>
            </w:tcBorders>
          </w:tcPr>
          <w:p>
            <w:r/>
            <w:r>
              <w:rPr>
                <w:b/>
                <w:color w:val="FFFFFF"/>
              </w:rPr>
              <w:t>Реакция</w:t>
            </w:r>
          </w:p>
        </w:tc>
        <w:tc>
          <w:tcPr>
            <w:tcW w:type="dxa" w:w="3118"/>
            <w:tcW w:w="3118" w:type="dxa"/>
            <w:shd w:val="clear" w:color="auto" w:fill="0B1630"/>
            <w:tcBorders>
              <w:top w:val="single" w:sz="4" w:space="0" w:color="0B1630"/>
              <w:bottom w:val="single" w:sz="4" w:space="0" w:color="0B1630"/>
              <w:left w:val="single" w:sz="4" w:space="0" w:color="0B1630"/>
              <w:right w:val="single" w:sz="4" w:space="0" w:color="0B1630"/>
            </w:tcBorders>
          </w:tcPr>
          <w:p>
            <w:r/>
            <w:r>
              <w:rPr>
                <w:b/>
                <w:color w:val="FFFFFF"/>
              </w:rPr>
              <w:t>Кога се използва</w:t>
            </w:r>
          </w:p>
        </w:tc>
        <w:tc>
          <w:tcPr>
            <w:tcW w:type="dxa" w:w="3118"/>
            <w:tcW w:w="3118" w:type="dxa"/>
            <w:shd w:val="clear" w:color="auto" w:fill="0B1630"/>
            <w:tcBorders>
              <w:top w:val="single" w:sz="4" w:space="0" w:color="0B1630"/>
              <w:bottom w:val="single" w:sz="4" w:space="0" w:color="0B1630"/>
              <w:left w:val="single" w:sz="4" w:space="0" w:color="0B1630"/>
              <w:right w:val="single" w:sz="4" w:space="0" w:color="0B1630"/>
            </w:tcBorders>
          </w:tcPr>
          <w:p>
            <w:r/>
            <w:r>
              <w:rPr>
                <w:b/>
                <w:color w:val="FFFFFF"/>
              </w:rPr>
              <w:t>Пример</w:t>
            </w:r>
          </w:p>
        </w:tc>
      </w:tr>
      <w:tr>
        <w:tc>
          <w:tcPr>
            <w:tcW w:type="dxa" w:w="3118"/>
            <w:tcW w:w="3118" w:type="dxa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Избягване</w:t>
            </w:r>
          </w:p>
        </w:tc>
        <w:tc>
          <w:tcPr>
            <w:tcW w:type="dxa" w:w="3118"/>
            <w:tcW w:w="3118" w:type="dxa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Променяме плана така, че рискът да отпадне изцяло.</w:t>
            </w:r>
          </w:p>
        </w:tc>
        <w:tc>
          <w:tcPr>
            <w:tcW w:type="dxa" w:w="3118"/>
            <w:tcW w:w="3118" w:type="dxa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Ако времето е рисково за открито събитие — предвиждаме закрита зала.</w:t>
            </w:r>
          </w:p>
        </w:tc>
      </w:tr>
      <w:tr>
        <w:tc>
          <w:tcPr>
            <w:tcW w:type="dxa" w:w="3118"/>
            <w:tcW w:w="3118" w:type="dxa"/>
            <w:shd w:val="clear" w:color="auto" w:fill="F4F6F9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Намаляване</w:t>
            </w:r>
          </w:p>
        </w:tc>
        <w:tc>
          <w:tcPr>
            <w:tcW w:type="dxa" w:w="3118"/>
            <w:tcW w:w="3118" w:type="dxa"/>
            <w:shd w:val="clear" w:color="auto" w:fill="F4F6F9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Не можем да го премахнем, но смъкваме вероятността или щетата.</w:t>
            </w:r>
          </w:p>
        </w:tc>
        <w:tc>
          <w:tcPr>
            <w:tcW w:type="dxa" w:w="3118"/>
            <w:tcW w:w="3118" w:type="dxa"/>
            <w:shd w:val="clear" w:color="auto" w:fill="F4F6F9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Обучаваме двама души за задача, за да не спре всичко при отсъствие на единия.</w:t>
            </w:r>
          </w:p>
        </w:tc>
      </w:tr>
      <w:tr>
        <w:tc>
          <w:tcPr>
            <w:tcW w:type="dxa" w:w="3118"/>
            <w:tcW w:w="3118" w:type="dxa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Прехвърляне</w:t>
            </w:r>
          </w:p>
        </w:tc>
        <w:tc>
          <w:tcPr>
            <w:tcW w:type="dxa" w:w="3118"/>
            <w:tcW w:w="3118" w:type="dxa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Прехвърляме последствието към друг — застраховка или договор.</w:t>
            </w:r>
          </w:p>
        </w:tc>
        <w:tc>
          <w:tcPr>
            <w:tcW w:type="dxa" w:w="3118"/>
            <w:tcW w:w="3118" w:type="dxa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Отговорност за техника при външно събитие се урежда с изпълнителя.</w:t>
            </w:r>
          </w:p>
        </w:tc>
      </w:tr>
      <w:tr>
        <w:tc>
          <w:tcPr>
            <w:tcW w:type="dxa" w:w="3118"/>
            <w:tcW w:w="3118" w:type="dxa"/>
            <w:shd w:val="clear" w:color="auto" w:fill="F4F6F9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Приемане</w:t>
            </w:r>
          </w:p>
        </w:tc>
        <w:tc>
          <w:tcPr>
            <w:tcW w:type="dxa" w:w="3118"/>
            <w:tcW w:w="3118" w:type="dxa"/>
            <w:shd w:val="clear" w:color="auto" w:fill="F4F6F9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Рискът е малък — приемаме го съзнателно и държим резерв.</w:t>
            </w:r>
          </w:p>
        </w:tc>
        <w:tc>
          <w:tcPr>
            <w:tcW w:type="dxa" w:w="3118"/>
            <w:tcW w:w="3118" w:type="dxa"/>
            <w:shd w:val="clear" w:color="auto" w:fill="F4F6F9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Дребно поскъпване на материал се покрива от буфера.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W w:w="9354" w:type="dxa"/>
      </w:tblPr>
      <w:tblGrid>
        <w:gridCol w:w="9354"/>
      </w:tblGrid>
      <w:tr>
        <w:tc>
          <w:tcPr>
            <w:tcW w:type="dxa" w:w="9354"/>
            <w:tcW w:w="9354" w:type="dxa"/>
            <w:shd w:val="clear" w:color="auto" w:fill="F4F6F9"/>
            <w:tcBorders>
              <w:top w:val="single" w:sz="4" w:space="0" w:color="D8DEE8"/>
              <w:bottom w:val="single" w:sz="4" w:space="0" w:color="D8DEE8"/>
              <w:right w:val="single" w:sz="4" w:space="0" w:color="D8DEE8"/>
              <w:left w:val="single" w:sz="28" w:space="0" w:color="E8821E"/>
            </w:tcBorders>
          </w:tcPr>
          <w:p>
            <w:r/>
            <w:r>
              <w:rPr>
                <w:b/>
                <w:color w:val="0B1630"/>
              </w:rPr>
              <w:t xml:space="preserve">Как се оценява рискът: </w:t>
            </w:r>
            <w:r>
              <w:rPr>
                <w:b w:val="0"/>
              </w:rPr>
              <w:t>По вероятност (колко е възможно) × въздействие (колко ще навреди). Високо × високо = следим отблизо и действаме сега; ниско × ниско = само отбелязваме. За всеки съществен риск има отговорник, който го наблюдава.</w:t>
            </w:r>
          </w:p>
        </w:tc>
      </w:tr>
    </w:tbl>
    <w:p>
      <w:pPr>
        <w:pStyle w:val="Heading2"/>
      </w:pPr>
      <w:r>
        <w:rPr>
          <w:b w:val="0"/>
        </w:rPr>
        <w:t>5. Мониторинг и отчетност</w:t>
      </w:r>
    </w:p>
    <w:p>
      <w:r>
        <w:rPr>
          <w:b w:val="0"/>
        </w:rPr>
        <w:t>По време на изпълнението постоянно отговаряме на един въпрос: вървим ли по план? Светофарът е най-простият честен език за статус:</w:t>
      </w:r>
    </w:p>
    <w:p>
      <w:pPr>
        <w:pStyle w:val="ListParagraph"/>
        <w:numPr>
          <w:ilvl w:val="0"/>
          <w:numId w:val="2"/>
        </w:numPr>
      </w:pPr>
      <w:r>
        <w:rPr>
          <w:b w:val="0"/>
        </w:rPr>
        <w:t>В график — върви по план, няма нужда от намеса.</w:t>
      </w:r>
    </w:p>
    <w:p>
      <w:pPr>
        <w:pStyle w:val="ListParagraph"/>
        <w:numPr>
          <w:ilvl w:val="0"/>
          <w:numId w:val="2"/>
        </w:numPr>
      </w:pPr>
      <w:r>
        <w:rPr>
          <w:b w:val="0"/>
        </w:rPr>
        <w:t>Внимание — има отклонение, следи се и се коригира.</w:t>
      </w:r>
    </w:p>
    <w:p>
      <w:pPr>
        <w:pStyle w:val="ListParagraph"/>
        <w:numPr>
          <w:ilvl w:val="0"/>
          <w:numId w:val="2"/>
        </w:numPr>
      </w:pPr>
      <w:r>
        <w:rPr>
          <w:b w:val="0"/>
        </w:rPr>
        <w:t>Риск — заплашен е срок, бюджет или качество; нужно е решение.</w:t>
      </w:r>
    </w:p>
    <w:p>
      <w:r>
        <w:rPr>
          <w:b w:val="0"/>
        </w:rPr>
        <w:t>Какво следим по време на проекта:</w:t>
      </w:r>
    </w:p>
    <w:p>
      <w:pPr>
        <w:pStyle w:val="ListParagraph"/>
        <w:numPr>
          <w:ilvl w:val="0"/>
          <w:numId w:val="2"/>
        </w:numPr>
      </w:pPr>
      <w:r>
        <w:rPr>
          <w:b w:val="0"/>
        </w:rPr>
        <w:t>Срок — ключовите точки идват ли навреме?</w:t>
      </w:r>
    </w:p>
    <w:p>
      <w:pPr>
        <w:pStyle w:val="ListParagraph"/>
        <w:numPr>
          <w:ilvl w:val="0"/>
          <w:numId w:val="2"/>
        </w:numPr>
      </w:pPr>
      <w:r>
        <w:rPr>
          <w:b w:val="0"/>
        </w:rPr>
        <w:t>Бюджет — усвоеното съответства ли на напредъка?</w:t>
      </w:r>
    </w:p>
    <w:p>
      <w:pPr>
        <w:pStyle w:val="ListParagraph"/>
        <w:numPr>
          <w:ilvl w:val="0"/>
          <w:numId w:val="2"/>
        </w:numPr>
      </w:pPr>
      <w:r>
        <w:rPr>
          <w:b w:val="0"/>
        </w:rPr>
        <w:t>Обхват — не се ли „подува“ тихомълком с нови искания?</w:t>
      </w:r>
    </w:p>
    <w:p>
      <w:pPr>
        <w:pStyle w:val="ListParagraph"/>
        <w:numPr>
          <w:ilvl w:val="0"/>
          <w:numId w:val="2"/>
        </w:numPr>
      </w:pPr>
      <w:r>
        <w:rPr>
          <w:b w:val="0"/>
        </w:rPr>
        <w:t>Качество — резултатите приемат ли се от възложителя?</w:t>
      </w:r>
    </w:p>
    <w:tbl>
      <w:tblPr>
        <w:tblW w:type="auto" w:w="0"/>
        <w:tblLayout w:type="fixed"/>
        <w:tblLook w:firstColumn="1" w:firstRow="1" w:lastColumn="0" w:lastRow="0" w:noHBand="0" w:noVBand="1" w:val="04A0"/>
        <w:tblW w:w="9354" w:type="dxa"/>
      </w:tblPr>
      <w:tblGrid>
        <w:gridCol w:w="9354"/>
      </w:tblGrid>
      <w:tr>
        <w:tc>
          <w:tcPr>
            <w:tcW w:type="dxa" w:w="9354"/>
            <w:tcW w:w="9354" w:type="dxa"/>
            <w:shd w:val="clear" w:color="auto" w:fill="F4F6F9"/>
            <w:tcBorders>
              <w:top w:val="single" w:sz="4" w:space="0" w:color="D8DEE8"/>
              <w:bottom w:val="single" w:sz="4" w:space="0" w:color="D8DEE8"/>
              <w:right w:val="single" w:sz="4" w:space="0" w:color="D8DEE8"/>
              <w:left w:val="single" w:sz="28" w:space="0" w:color="1C8A4A"/>
            </w:tcBorders>
          </w:tcPr>
          <w:p>
            <w:r/>
            <w:r>
              <w:rPr>
                <w:b/>
                <w:color w:val="0B1630"/>
              </w:rPr>
              <w:t xml:space="preserve">Кратко и редовно е по-добре от дълго и рядко: </w:t>
            </w:r>
            <w:r>
              <w:rPr>
                <w:b w:val="0"/>
              </w:rPr>
              <w:t>Кратък статус на определен ритъм — какво е готово, какво следва, къде има пречка — струва повече от дебел отчет веднъж на тримесечие. Тракерът дава точно такъв поглед с един екран.</w:t>
            </w:r>
          </w:p>
        </w:tc>
      </w:tr>
    </w:tbl>
    <w:p>
      <w:pPr>
        <w:pStyle w:val="Heading2"/>
      </w:pPr>
      <w:r>
        <w:rPr>
          <w:b w:val="0"/>
        </w:rPr>
        <w:t>6. Ролите в проекта</w:t>
      </w:r>
    </w:p>
    <w:p>
      <w:r>
        <w:rPr>
          <w:b w:val="0"/>
        </w:rPr>
        <w:t>Всеки участва по различен начин. Описваме ролите по длъжност — кой носи отговорност, кой изпълнява, кой се консултира и кой се информира.</w:t>
      </w:r>
    </w:p>
    <w:tbl>
      <w:tblPr>
        <w:tblW w:type="auto" w:w="0"/>
        <w:tblLayout w:type="fixed"/>
        <w:tblLook w:firstColumn="1" w:firstRow="1" w:lastColumn="0" w:lastRow="0" w:noHBand="0" w:noVBand="1" w:val="04A0"/>
        <w:tblW w:w="9354" w:type="dxa"/>
      </w:tblPr>
      <w:tblGrid>
        <w:gridCol w:w="3118"/>
        <w:gridCol w:w="3118"/>
        <w:gridCol w:w="3118"/>
      </w:tblGrid>
      <w:tr>
        <w:tc>
          <w:tcPr>
            <w:tcW w:type="dxa" w:w="3118"/>
            <w:tcW w:w="3118" w:type="dxa"/>
            <w:shd w:val="clear" w:color="auto" w:fill="0B1630"/>
            <w:tcBorders>
              <w:top w:val="single" w:sz="4" w:space="0" w:color="0B1630"/>
              <w:bottom w:val="single" w:sz="4" w:space="0" w:color="0B1630"/>
              <w:left w:val="single" w:sz="4" w:space="0" w:color="0B1630"/>
              <w:right w:val="single" w:sz="4" w:space="0" w:color="0B1630"/>
            </w:tcBorders>
          </w:tcPr>
          <w:p>
            <w:r/>
            <w:r>
              <w:rPr>
                <w:b/>
                <w:color w:val="FFFFFF"/>
              </w:rPr>
              <w:t>Роля</w:t>
            </w:r>
          </w:p>
        </w:tc>
        <w:tc>
          <w:tcPr>
            <w:tcW w:type="dxa" w:w="3118"/>
            <w:tcW w:w="3118" w:type="dxa"/>
            <w:shd w:val="clear" w:color="auto" w:fill="0B1630"/>
            <w:tcBorders>
              <w:top w:val="single" w:sz="4" w:space="0" w:color="0B1630"/>
              <w:bottom w:val="single" w:sz="4" w:space="0" w:color="0B1630"/>
              <w:left w:val="single" w:sz="4" w:space="0" w:color="0B1630"/>
              <w:right w:val="single" w:sz="4" w:space="0" w:color="0B1630"/>
            </w:tcBorders>
          </w:tcPr>
          <w:p>
            <w:r/>
            <w:r>
              <w:rPr>
                <w:b/>
                <w:color w:val="FFFFFF"/>
              </w:rPr>
              <w:t>Кой (по длъжност)</w:t>
            </w:r>
          </w:p>
        </w:tc>
        <w:tc>
          <w:tcPr>
            <w:tcW w:type="dxa" w:w="3118"/>
            <w:tcW w:w="3118" w:type="dxa"/>
            <w:shd w:val="clear" w:color="auto" w:fill="0B1630"/>
            <w:tcBorders>
              <w:top w:val="single" w:sz="4" w:space="0" w:color="0B1630"/>
              <w:bottom w:val="single" w:sz="4" w:space="0" w:color="0B1630"/>
              <w:left w:val="single" w:sz="4" w:space="0" w:color="0B1630"/>
              <w:right w:val="single" w:sz="4" w:space="0" w:color="0B1630"/>
            </w:tcBorders>
          </w:tcPr>
          <w:p>
            <w:r/>
            <w:r>
              <w:rPr>
                <w:b/>
                <w:color w:val="FFFFFF"/>
              </w:rPr>
              <w:t>Отговаря за</w:t>
            </w:r>
          </w:p>
        </w:tc>
      </w:tr>
      <w:tr>
        <w:tc>
          <w:tcPr>
            <w:tcW w:type="dxa" w:w="3118"/>
            <w:tcW w:w="3118" w:type="dxa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Възложител</w:t>
            </w:r>
          </w:p>
        </w:tc>
        <w:tc>
          <w:tcPr>
            <w:tcW w:type="dxa" w:w="3118"/>
            <w:tcW w:w="3118" w:type="dxa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Ръководството на институцията</w:t>
            </w:r>
          </w:p>
        </w:tc>
        <w:tc>
          <w:tcPr>
            <w:tcW w:type="dxa" w:w="3118"/>
            <w:tcW w:w="3118" w:type="dxa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Взема решението проектът да се прави, осигурява ресурса, приема крайния резултат.</w:t>
            </w:r>
          </w:p>
        </w:tc>
      </w:tr>
      <w:tr>
        <w:tc>
          <w:tcPr>
            <w:tcW w:type="dxa" w:w="3118"/>
            <w:tcW w:w="3118" w:type="dxa"/>
            <w:shd w:val="clear" w:color="auto" w:fill="F4F6F9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Ръководител на проект</w:t>
            </w:r>
          </w:p>
        </w:tc>
        <w:tc>
          <w:tcPr>
            <w:tcW w:type="dxa" w:w="3118"/>
            <w:tcW w:w="3118" w:type="dxa"/>
            <w:shd w:val="clear" w:color="auto" w:fill="F4F6F9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Определеният координатор на проекта</w:t>
            </w:r>
          </w:p>
        </w:tc>
        <w:tc>
          <w:tcPr>
            <w:tcW w:type="dxa" w:w="3118"/>
            <w:tcW w:w="3118" w:type="dxa"/>
            <w:shd w:val="clear" w:color="auto" w:fill="F4F6F9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Планът, графикът, бюджетът и екипът; ежедневните решения и отчетността.</w:t>
            </w:r>
          </w:p>
        </w:tc>
      </w:tr>
      <w:tr>
        <w:tc>
          <w:tcPr>
            <w:tcW w:type="dxa" w:w="3118"/>
            <w:tcW w:w="3118" w:type="dxa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Екип</w:t>
            </w:r>
          </w:p>
        </w:tc>
        <w:tc>
          <w:tcPr>
            <w:tcW w:type="dxa" w:w="3118"/>
            <w:tcW w:w="3118" w:type="dxa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Служители и доброволци по пакети</w:t>
            </w:r>
          </w:p>
        </w:tc>
        <w:tc>
          <w:tcPr>
            <w:tcW w:type="dxa" w:w="3118"/>
            <w:tcW w:w="3118" w:type="dxa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Изпълнението на конкретните работни пакети.</w:t>
            </w:r>
          </w:p>
        </w:tc>
      </w:tr>
      <w:tr>
        <w:tc>
          <w:tcPr>
            <w:tcW w:type="dxa" w:w="3118"/>
            <w:tcW w:w="3118" w:type="dxa"/>
            <w:shd w:val="clear" w:color="auto" w:fill="F4F6F9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Експерти / консултанти</w:t>
            </w:r>
          </w:p>
        </w:tc>
        <w:tc>
          <w:tcPr>
            <w:tcW w:type="dxa" w:w="3118"/>
            <w:tcW w:w="3118" w:type="dxa"/>
            <w:shd w:val="clear" w:color="auto" w:fill="F4F6F9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Вътрешни или външни специалисти</w:t>
            </w:r>
          </w:p>
        </w:tc>
        <w:tc>
          <w:tcPr>
            <w:tcW w:type="dxa" w:w="3118"/>
            <w:tcW w:w="3118" w:type="dxa"/>
            <w:shd w:val="clear" w:color="auto" w:fill="F4F6F9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Съвет по конкретни въпроси — правни, технически, финансови.</w:t>
            </w:r>
          </w:p>
        </w:tc>
      </w:tr>
      <w:tr>
        <w:tc>
          <w:tcPr>
            <w:tcW w:type="dxa" w:w="3118"/>
            <w:tcW w:w="3118" w:type="dxa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Заинтересовани страни</w:t>
            </w:r>
          </w:p>
        </w:tc>
        <w:tc>
          <w:tcPr>
            <w:tcW w:type="dxa" w:w="3118"/>
            <w:tcW w:w="3118" w:type="dxa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Партньори, финансиращ, публика</w:t>
            </w:r>
          </w:p>
        </w:tc>
        <w:tc>
          <w:tcPr>
            <w:tcW w:type="dxa" w:w="3118"/>
            <w:tcW w:w="3118" w:type="dxa"/>
            <w:tcBorders>
              <w:top w:val="single" w:sz="4" w:space="0" w:color="D8DEE8"/>
              <w:bottom w:val="single" w:sz="4" w:space="0" w:color="D8DEE8"/>
              <w:left w:val="single" w:sz="4" w:space="0" w:color="D8DEE8"/>
              <w:right w:val="single" w:sz="4" w:space="0" w:color="D8DEE8"/>
            </w:tcBorders>
          </w:tcPr>
          <w:p>
            <w:r/>
            <w:r>
              <w:rPr>
                <w:b w:val="0"/>
              </w:rPr>
              <w:t>Информират се за напредъка; някои дават обратна връзка.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W w:w="9354" w:type="dxa"/>
      </w:tblPr>
      <w:tblGrid>
        <w:gridCol w:w="9354"/>
      </w:tblGrid>
      <w:tr>
        <w:tc>
          <w:tcPr>
            <w:tcW w:type="dxa" w:w="9354"/>
            <w:tcW w:w="9354" w:type="dxa"/>
            <w:shd w:val="clear" w:color="auto" w:fill="F4F6F9"/>
            <w:tcBorders>
              <w:top w:val="single" w:sz="4" w:space="0" w:color="D8DEE8"/>
              <w:bottom w:val="single" w:sz="4" w:space="0" w:color="D8DEE8"/>
              <w:right w:val="single" w:sz="4" w:space="0" w:color="D8DEE8"/>
              <w:left w:val="single" w:sz="28" w:space="0" w:color="1863DC"/>
            </w:tcBorders>
          </w:tcPr>
          <w:p>
            <w:r/>
            <w:r>
              <w:rPr>
                <w:b/>
                <w:color w:val="0B1630"/>
              </w:rPr>
              <w:t xml:space="preserve">Едно правило за яснота: </w:t>
            </w:r>
            <w:r>
              <w:rPr>
                <w:b w:val="0"/>
              </w:rPr>
              <w:t>За всеки работен пакет има точно един, който носи отговорност за резултата. Ако отговарят всички, не отговаря никой.</w:t>
            </w:r>
          </w:p>
        </w:tc>
      </w:tr>
    </w:tbl>
    <w:p>
      <w:pPr>
        <w:pStyle w:val="Heading2"/>
      </w:pPr>
      <w:r>
        <w:rPr>
          <w:b w:val="0"/>
        </w:rPr>
        <w:t>7. Примерен тракер за проекти</w:t>
      </w:r>
    </w:p>
    <w:p>
      <w:r>
        <w:rPr>
          <w:b w:val="0"/>
        </w:rPr>
        <w:t>Всичко от това обучение се събира на един екран — списък с проекти, фаза, статус, прогрес, отговорник по длъжност, срок, бюджет и рискове. Примерният интерактивен тракер е публикуван онлайн и може да се използва като начало: отвори го, разгледай примерните проекти и ги замени със свои.</w:t>
      </w:r>
    </w:p>
    <w:tbl>
      <w:tblPr>
        <w:tblW w:type="auto" w:w="0"/>
        <w:tblLayout w:type="fixed"/>
        <w:tblLook w:firstColumn="1" w:firstRow="1" w:lastColumn="0" w:lastRow="0" w:noHBand="0" w:noVBand="1" w:val="04A0"/>
        <w:tblW w:w="9354" w:type="dxa"/>
      </w:tblPr>
      <w:tblGrid>
        <w:gridCol w:w="9354"/>
      </w:tblGrid>
      <w:tr>
        <w:tc>
          <w:tcPr>
            <w:tcW w:type="dxa" w:w="9354"/>
            <w:tcW w:w="9354" w:type="dxa"/>
            <w:shd w:val="clear" w:color="auto" w:fill="F4F6F9"/>
            <w:tcBorders>
              <w:top w:val="single" w:sz="4" w:space="0" w:color="D8DEE8"/>
              <w:bottom w:val="single" w:sz="4" w:space="0" w:color="D8DEE8"/>
              <w:right w:val="single" w:sz="4" w:space="0" w:color="D8DEE8"/>
              <w:left w:val="single" w:sz="28" w:space="0" w:color="1C8A4A"/>
            </w:tcBorders>
          </w:tcPr>
          <w:p>
            <w:r/>
            <w:r>
              <w:rPr>
                <w:b/>
                <w:color w:val="0B1630"/>
              </w:rPr>
              <w:t xml:space="preserve">Как да го ползваш: </w:t>
            </w:r>
            <w:r>
              <w:rPr>
                <w:b w:val="0"/>
              </w:rPr>
              <w:t>Тръгни от примерните проекти, за да видиш как изглежда пълна картина, после ги замени със свои. Ползвай светофара честно — жълтото и червеното навреме спасяват проекти; скритото жълто ги проваля.</w:t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134" w:right="1276" w:bottom="1134" w:left="1276" w:header="567" w:footer="567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EE7" w:sz="4" w:space="4"/>
      </w:pBdr>
      <w:jc w:val="center"/>
    </w:pPr>
    <w:r>
      <w:rPr>
        <w:color w:val="5D6B7D"/>
        <w:sz w:val="16"/>
        <w:szCs w:val="16"/>
      </w:rPr>
      <w:t xml:space="preserve">стр. </w:t>
    </w:r>
    <w:r>
      <w:rPr>
        <w:color w:val="5D6B7D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D6B7D"/>
        <w:sz w:val="16"/>
        <w:szCs w:val="16"/>
      </w:rPr>
      <w:t xml:space="preserve"> от </w:t>
    </w:r>
    <w:r>
      <w:rPr>
        <w:color w:val="5D6B7D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EE7" w:sz="4" w:space="4"/>
      </w:pBdr>
      <w:jc w:val="center"/>
    </w:pPr>
    <w:r>
      <w:rPr>
        <w:color w:val="5D6B7D"/>
        <w:sz w:val="16"/>
        <w:szCs w:val="16"/>
      </w:rPr>
      <w:t xml:space="preserve">стр.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EE7" w:sz="4" w:space="3"/>
      </w:pBdr>
      <w:spacing w:after="0"/>
    </w:pPr>
    <w:r>
      <w:rPr>
        <w:color w:val="5D6B7D"/>
        <w:sz w:val="16"/>
        <w:szCs w:val="16"/>
      </w:rPr>
      <w:t xml:space="preserve">„Дворец на културата и спорта“ ЕАД — Варна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260"/>
      <w:outlineLvl w:val="0"/>
    </w:pPr>
    <w:rPr>
      <w:rFonts w:ascii="Calibri" w:cs="Calibri" w:eastAsia="Calibri" w:hAnsi="Calibri"/>
      <w:b/>
      <w:bCs/>
      <w:color w:val="0B1630"/>
      <w:sz w:val="30"/>
      <w:szCs w:val="30"/>
    </w:rPr>
  </w:style>
  <w:style w:type="paragraph" w:styleId="Heading2">
    <w:name w:val="Heading 2"/>
    <w:basedOn w:val="Normal"/>
    <w:next w:val="Normal"/>
    <w:qFormat/>
    <w:pPr>
      <w:pBdr>
        <w:bottom w:val="single" w:color="D9DEE7" w:sz="6" w:space="3"/>
      </w:pBdr>
      <w:spacing w:after="90" w:before="220"/>
      <w:outlineLvl w:val="1"/>
    </w:pPr>
    <w:rPr>
      <w:rFonts w:ascii="Calibri" w:cs="Calibri" w:eastAsia="Calibri" w:hAnsi="Calibri"/>
      <w:b/>
      <w:bCs/>
      <w:color w:val="092C53"/>
      <w:sz w:val="24"/>
      <w:szCs w:val="24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5f4d8db3ab593658db7188de68065d0c7099fd9b.jpg"/><Relationship Id="rId12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на бланка ДКС</dc:title>
  <dc:creator>Дворец на културата и спорта — Варна</dc:creator>
  <cp:lastModifiedBy>Un-named</cp:lastModifiedBy>
  <cp:revision>1</cp:revision>
  <dcterms:created xsi:type="dcterms:W3CDTF">2026-07-06T07:02:27.703Z</dcterms:created>
  <dcterms:modified xsi:type="dcterms:W3CDTF">2026-07-06T07:02:27.703Z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